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gif" ContentType="image/gif"/>
  <Default Extension="tiff" ContentType="image/tiff"/>
  <Default Extension="svg" ContentType="image/sv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v="urn:schemas-microsoft-com:vml" xmlns:wx="http://schemas.microsoft.com/office/word/2003/auxHint" xmlns:wp="http://schemas.openxmlformats.org/drawingml/2006/wordprocessingDrawing" xmlns:m="http://schemas.openxmlformats.org/officeDocument/2006/math" xmlns:a="http://schemas.openxmlformats.org/drawingml/2006/main" xmlns:pic="http://schemas.openxmlformats.org/drawingml/2006/picture" xmlns:w="http://schemas.openxmlformats.org/wordprocessingml/2006/main">
  <w:body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32"/>
        </w:rPr>
        <w:t xml:space="preserve">Programme des projections des films en compétition officielle</w:t>
      </w: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32"/>
        </w:rPr>
        <w:t xml:space="preserve">Complexe culturel de Khouribga</w:t>
      </w:r>
    </w:p>
    <w:tbl>
      <w:tblGrid>
        <w:gridCol w:w="2235"/>
        <w:gridCol w:w="2976"/>
        <w:gridCol w:w="2835"/>
        <w:gridCol w:w="2866"/>
        <w:gridCol w:w="2235"/>
        <w:gridCol w:w="2976"/>
        <w:gridCol w:w="2835"/>
        <w:gridCol w:w="2866"/>
        <w:gridCol w:w="2235"/>
        <w:gridCol w:w="2976"/>
        <w:gridCol w:w="2835"/>
        <w:gridCol w:w="2866"/>
        <w:gridCol w:w="2235"/>
        <w:gridCol w:w="2976"/>
        <w:gridCol w:w="2835"/>
        <w:gridCol w:w="2866"/>
        <w:gridCol w:w="2235"/>
        <w:gridCol w:w="2976"/>
        <w:gridCol w:w="2835"/>
        <w:gridCol w:w="2866"/>
        <w:gridCol w:w="2235"/>
        <w:gridCol w:w="2976"/>
        <w:gridCol w:w="2835"/>
        <w:gridCol w:w="2866"/>
        <w:gridCol w:w="2235"/>
        <w:gridCol w:w="2976"/>
        <w:gridCol w:w="2835"/>
        <w:gridCol w:w="2866"/>
        <w:gridCol w:w="2235"/>
        <w:gridCol w:w="2976"/>
        <w:gridCol w:w="2835"/>
        <w:gridCol w:w="2866"/>
        <w:gridCol w:w="2235"/>
        <w:gridCol w:w="2976"/>
        <w:gridCol w:w="2835"/>
        <w:gridCol w:w="2866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2235" w:type="dxa"/>
            <w:shd w:fill="ff0000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  <w:gridSpan w:val="4"/>
          </w:tcPr>
          <w:p>
            <w:pPr>
              <w:pStyle w:val="Normal"/>
              <w:jc w:val="center"/>
              <w:spacing w:line="240" w:lineRule="auto"/>
              <w:shd w:fill="ff0000"/>
            </w:pPr>
            <w:r>
              <w:rPr>
                <w:lang w:val="fr-FR"/>
                <w:rFonts w:ascii="Arial" w:cs="Arial" w:hAnsi="Arial"/>
                <w:b/>
                <w:sz w:val="28"/>
                <w:shd w:fill="ff0000"/>
              </w:rPr>
              <w:t xml:space="preserve">Samedi 14 juin 2014</w:t>
            </w:r>
            <w:r>
              <w:rPr>
                <w:lang w:val="fr-FR"/>
                <w:rFonts w:ascii="Arial" w:cs="Arial" w:hAnsi="Arial"/>
                <w:b/>
                <w:sz w:val="22"/>
                <w:shd w:fill="ff0000"/>
              </w:rPr>
              <w:t xml:space="preserve"> à </w:t>
            </w:r>
            <w:r>
              <w:rPr>
                <w:lang w:val="fr-FR"/>
                <w:rFonts w:ascii="Arial" w:cs="Arial" w:hAnsi="Arial"/>
                <w:b/>
                <w:sz w:val="32"/>
                <w:shd w:fill="ff0000"/>
              </w:rPr>
              <w:t xml:space="preserve">19 H :</w:t>
            </w:r>
          </w:p>
          <w:p>
            <w:pPr>
              <w:pStyle w:val="Normal"/>
              <w:jc w:val="center"/>
              <w:spacing w:line="264" w:lineRule="auto"/>
              <w:shd w:fill="ff0000"/>
            </w:pPr>
            <w:r>
              <w:rPr>
                <w:lang w:val="fr-FR"/>
                <w:rFonts w:ascii="Arial" w:cs="Arial" w:hAnsi="Arial"/>
                <w:sz w:val="24"/>
                <w:shd w:fill="ff0000"/>
              </w:rPr>
              <w:t xml:space="preserve">- Cérémonie d’ouverture </w:t>
            </w:r>
          </w:p>
          <w:p>
            <w:pPr>
              <w:pStyle w:val="Normal"/>
              <w:jc w:val="center"/>
              <w:spacing w:after="200"/>
              <w:spacing w:line="264" w:lineRule="auto"/>
              <w:shd w:fill="ff0000"/>
            </w:pPr>
            <w:r>
              <w:rPr>
                <w:lang w:val="fr-FR"/>
                <w:rFonts w:ascii="Arial" w:cs="Arial" w:hAnsi="Arial"/>
                <w:sz w:val="24"/>
                <w:shd w:fill="ff0000"/>
              </w:rPr>
              <w:t xml:space="preserve">-  Film d’ouverture « </w:t>
            </w:r>
            <w:r>
              <w:rPr>
                <w:lang w:val="fr-FR"/>
                <w:rFonts w:ascii="Arial" w:cs="Arial" w:hAnsi="Arial"/>
                <w:b/>
                <w:sz w:val="24"/>
                <w:shd w:fill="ff0000"/>
              </w:rPr>
              <w:t xml:space="preserve">La femme au couteau</w:t>
            </w:r>
            <w:r>
              <w:rPr>
                <w:lang w:val="fr-FR"/>
                <w:rFonts w:ascii="Arial" w:cs="Arial" w:hAnsi="Arial"/>
                <w:sz w:val="24"/>
                <w:shd w:fill="ff0000"/>
              </w:rPr>
              <w:t xml:space="preserve"> » de Bassori Timité (Cote d’Ivoire) </w:t>
            </w:r>
          </w:p>
        </w:tc>
      </w:tr>
      <w:tr>
        <w:trPr/>
        <w:tc>
          <w:tcPr>
            <w:tcW w:w="2235" w:type="dxa"/>
            <w:shd w:fill="0000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0000ff"/>
            </w:pPr>
            <w:r>
              <w:rPr>
                <w:lang w:val="fr-FR"/>
                <w:rFonts w:ascii="Arial" w:cs="Arial" w:hAnsi="Arial"/>
                <w:b/>
                <w:sz w:val="22"/>
                <w:shd w:fill="0000ff"/>
              </w:rPr>
              <w:t xml:space="preserve">Horaire</w:t>
            </w:r>
          </w:p>
        </w:tc>
        <w:tc>
          <w:tcPr>
            <w:tcW w:w="2976" w:type="dxa"/>
            <w:shd w:fill="0000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0000ff"/>
            </w:pPr>
            <w:r>
              <w:rPr>
                <w:lang w:val="fr-FR"/>
                <w:rFonts w:ascii="Arial" w:cs="Arial" w:hAnsi="Arial"/>
                <w:b/>
                <w:sz w:val="28"/>
                <w:shd w:fill="0000ff"/>
              </w:rPr>
              <w:t xml:space="preserve">17 H</w:t>
            </w:r>
          </w:p>
        </w:tc>
        <w:tc>
          <w:tcPr>
            <w:tcW w:w="2835" w:type="dxa"/>
            <w:shd w:fill="0000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0000ff"/>
            </w:pPr>
            <w:r>
              <w:rPr>
                <w:lang w:val="fr-FR"/>
                <w:rFonts w:ascii="Arial" w:cs="Arial" w:hAnsi="Arial"/>
                <w:b/>
                <w:sz w:val="28"/>
                <w:shd w:fill="0000ff"/>
              </w:rPr>
              <w:t xml:space="preserve">19 H</w:t>
            </w:r>
          </w:p>
        </w:tc>
        <w:tc>
          <w:tcPr>
            <w:tcW w:w="2866" w:type="dxa"/>
            <w:shd w:fill="0000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0000ff"/>
            </w:pPr>
            <w:r>
              <w:rPr>
                <w:lang w:val="fr-FR"/>
                <w:rFonts w:ascii="Arial" w:cs="Arial" w:hAnsi="Arial"/>
                <w:b/>
                <w:sz w:val="28"/>
                <w:shd w:fill="0000ff"/>
              </w:rPr>
              <w:t xml:space="preserve">22 H</w:t>
            </w:r>
          </w:p>
        </w:tc>
      </w:tr>
      <w:tr>
        <w:trPr/>
        <w:tc>
          <w:tcPr>
            <w:tcW w:w="2235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2"/>
                <w:shd w:fill="ffffff"/>
              </w:rPr>
              <w:t xml:space="preserve">Dimanche 15 juin 2014</w:t>
            </w:r>
          </w:p>
        </w:tc>
        <w:tc>
          <w:tcPr>
            <w:tcW w:w="297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u w:val="single"/>
                <w:shd w:fill="ffffff"/>
              </w:rPr>
              <w:t xml:space="preserve">Cinéma invité :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« 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Bal poussière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 »</w:t>
            </w:r>
          </w:p>
        </w:tc>
        <w:tc>
          <w:tcPr>
            <w:tcW w:w="2835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Sotto voce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 (Maroc)</w:t>
            </w:r>
          </w:p>
        </w:tc>
        <w:tc>
          <w:tcPr>
            <w:tcW w:w="286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Entre le marteau et l’enclume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 (Congo)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0"/>
                <w:color w:val="ffffff"/>
                <w:shd w:fill="000000"/>
              </w:rPr>
              <w:t xml:space="preserve">Interdit aux moins de 12 ans</w:t>
            </w:r>
          </w:p>
        </w:tc>
      </w:tr>
      <w:tr>
        <w:trPr/>
        <w:tc>
          <w:tcPr>
            <w:tcW w:w="2235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2"/>
                <w:shd w:fill="ffffff"/>
              </w:rPr>
              <w:t xml:space="preserve">Lundi 16 juin 2014</w:t>
            </w:r>
          </w:p>
        </w:tc>
        <w:tc>
          <w:tcPr>
            <w:tcW w:w="297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u w:val="single"/>
                <w:shd w:fill="ffffff"/>
              </w:rPr>
              <w:t xml:space="preserve">Cinéma invité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 :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« 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Djeli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 »</w:t>
            </w:r>
          </w:p>
        </w:tc>
        <w:tc>
          <w:tcPr>
            <w:tcW w:w="2835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Imbabazi:The Pardon 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 (</w:t>
            </w:r>
            <w:r>
              <w:rPr>
                <w:noProof/>
                <w:rFonts w:ascii="inherit" w:cs="inherit" w:hAnsi="inherit"/>
                <w:sz w:val="26"/>
                <w:color w:val="000000"/>
                <w:shd w:fill="ffffff"/>
              </w:rPr>
              <w:t xml:space="preserve">Rwanda)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0"/>
                <w:color w:val="ffffff"/>
                <w:shd w:fill="000000"/>
              </w:rPr>
              <w:t xml:space="preserve">Interdit aux moins de 16 ans</w:t>
            </w:r>
          </w:p>
        </w:tc>
        <w:tc>
          <w:tcPr>
            <w:tcW w:w="286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Grigris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 (Tchad)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0"/>
                <w:color w:val="ffffff"/>
                <w:shd w:fill="000000"/>
              </w:rPr>
              <w:t xml:space="preserve">Interdit aux moins de 12 ans</w:t>
            </w:r>
          </w:p>
        </w:tc>
      </w:tr>
      <w:tr>
        <w:trPr/>
        <w:tc>
          <w:tcPr>
            <w:tcW w:w="2235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2"/>
                <w:shd w:fill="ffffff"/>
              </w:rPr>
              <w:t xml:space="preserve">Mardi 17 juin 2014</w:t>
            </w:r>
          </w:p>
        </w:tc>
        <w:tc>
          <w:tcPr>
            <w:tcW w:w="297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u w:val="single"/>
                <w:shd w:fill="ffffff"/>
              </w:rPr>
              <w:t xml:space="preserve">Cinéma invité :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« 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Au nom du Christ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 »</w:t>
            </w:r>
          </w:p>
        </w:tc>
        <w:tc>
          <w:tcPr>
            <w:tcW w:w="2835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La bataille de Tabato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 (Guinée Bissau)</w:t>
            </w:r>
          </w:p>
        </w:tc>
        <w:tc>
          <w:tcPr>
            <w:tcW w:w="286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Durban_poison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 (Afrique du sud)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0"/>
                <w:color w:val="ffffff"/>
                <w:shd w:fill="000000"/>
              </w:rPr>
              <w:t xml:space="preserve">Interdit aux moins de 16 ans</w:t>
            </w:r>
          </w:p>
        </w:tc>
      </w:tr>
      <w:tr>
        <w:trPr/>
        <w:tc>
          <w:tcPr>
            <w:tcW w:w="2235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2"/>
                <w:shd w:fill="ffffff"/>
              </w:rPr>
              <w:t xml:space="preserve">Mercredi 18 juin 2014</w:t>
            </w:r>
          </w:p>
        </w:tc>
        <w:tc>
          <w:tcPr>
            <w:tcW w:w="297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u w:val="single"/>
                <w:shd w:fill="ffffff"/>
              </w:rPr>
              <w:t xml:space="preserve">Panorama :</w:t>
            </w:r>
          </w:p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« 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C’est eux les chiens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»</w:t>
            </w:r>
          </w:p>
        </w:tc>
        <w:tc>
          <w:tcPr>
            <w:tcW w:w="2835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Dust and Fortunes 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 (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Zimbabwe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)</w:t>
            </w:r>
          </w:p>
        </w:tc>
        <w:tc>
          <w:tcPr>
            <w:tcW w:w="286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N’gunu N’gunu Kan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 (Mali)</w:t>
            </w:r>
          </w:p>
        </w:tc>
      </w:tr>
      <w:tr>
        <w:trPr/>
        <w:tc>
          <w:tcPr>
            <w:tcW w:w="2235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2"/>
                <w:shd w:fill="ffffff"/>
              </w:rPr>
              <w:t xml:space="preserve">Jeudi 19 juin 2014</w:t>
            </w:r>
          </w:p>
        </w:tc>
        <w:tc>
          <w:tcPr>
            <w:tcW w:w="297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Horizon beautiful</w:t>
            </w:r>
          </w:p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 (Ethiopie)</w:t>
            </w:r>
          </w:p>
        </w:tc>
        <w:tc>
          <w:tcPr>
            <w:tcW w:w="2835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Villa 69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 (Egypte)</w:t>
            </w:r>
          </w:p>
        </w:tc>
        <w:tc>
          <w:tcPr>
            <w:tcW w:w="286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Adios Carmen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(Maroc)</w:t>
            </w:r>
          </w:p>
        </w:tc>
      </w:tr>
      <w:tr>
        <w:trPr/>
        <w:tc>
          <w:tcPr>
            <w:tcW w:w="2235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2"/>
                <w:shd w:fill="ffffff"/>
              </w:rPr>
              <w:t xml:space="preserve">Vendredi 20 juin 2014</w:t>
            </w:r>
          </w:p>
        </w:tc>
        <w:tc>
          <w:tcPr>
            <w:tcW w:w="297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Dakar trottoirs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 (Sénégal)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0"/>
                <w:color w:val="ffffff"/>
                <w:shd w:fill="000000"/>
              </w:rPr>
              <w:t xml:space="preserve">Interdit aux moins de 16 ans</w:t>
            </w:r>
          </w:p>
        </w:tc>
        <w:tc>
          <w:tcPr>
            <w:tcW w:w="2835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Calibri" w:cs="Calibri" w:hAnsi="Calibri"/>
                <w:b/>
                <w:sz w:val="28"/>
                <w:shd w:fill="ffffff"/>
              </w:rPr>
              <w:t xml:space="preserve">Nesma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noProof/>
                <w:rFonts w:ascii="inherit" w:cs="inherit" w:hAnsi="inherit"/>
                <w:sz w:val="26"/>
                <w:color w:val="000000"/>
                <w:shd w:fill="ffffff"/>
              </w:rPr>
              <w:t xml:space="preserve"> (Tunisie)</w:t>
            </w:r>
          </w:p>
        </w:tc>
        <w:tc>
          <w:tcPr>
            <w:tcW w:w="286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W.A.K.A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(Cameroun)</w:t>
            </w:r>
          </w:p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0"/>
                <w:color w:val="ffffff"/>
                <w:shd w:fill="000000"/>
              </w:rPr>
              <w:t xml:space="preserve">Interdit aux moins de 16 ans</w:t>
            </w:r>
          </w:p>
        </w:tc>
      </w:tr>
      <w:tr>
        <w:trPr/>
        <w:tc>
          <w:tcPr>
            <w:tcW w:w="2235" w:type="dxa"/>
            <w:shd w:fill="ff0000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  <w:gridSpan w:val="4"/>
          </w:tcPr>
          <w:p>
            <w:pPr>
              <w:pStyle w:val="Normal"/>
              <w:jc w:val="center"/>
              <w:spacing w:line="240" w:lineRule="auto"/>
              <w:shd w:fill="ff0000"/>
            </w:pPr>
            <w:r>
              <w:rPr>
                <w:lang w:val="fr-FR"/>
                <w:rFonts w:ascii="Arial" w:cs="Arial" w:hAnsi="Arial"/>
                <w:b/>
                <w:sz w:val="28"/>
                <w:shd w:fill="ff0000"/>
              </w:rPr>
              <w:t xml:space="preserve">Samedi 21 juin 2014 à 18 H 30 :</w:t>
            </w:r>
          </w:p>
          <w:p>
            <w:pPr>
              <w:pStyle w:val="Normal"/>
              <w:jc w:val="center"/>
              <w:shd w:fill="ff0000"/>
            </w:pPr>
            <w:r>
              <w:rPr>
                <w:lang w:val="fr-FR"/>
                <w:rFonts w:ascii="Arial" w:cs="Arial" w:hAnsi="Arial"/>
                <w:sz w:val="24"/>
                <w:shd w:fill="ff0000"/>
              </w:rPr>
              <w:t xml:space="preserve">- Cérémonie de clôture </w:t>
            </w:r>
          </w:p>
          <w:p>
            <w:pPr>
              <w:pStyle w:val="Normal"/>
              <w:jc w:val="center"/>
              <w:shd w:fill="ff0000"/>
            </w:pPr>
            <w:r>
              <w:rPr>
                <w:lang w:val="fr-FR"/>
                <w:rFonts w:ascii="Arial" w:cs="Arial" w:hAnsi="Arial"/>
                <w:sz w:val="24"/>
                <w:shd w:fill="ff0000"/>
              </w:rPr>
              <w:t xml:space="preserve">- Film de clôture « </w:t>
            </w:r>
            <w:r>
              <w:rPr>
                <w:lang w:val="fr-FR"/>
                <w:rFonts w:ascii="Arial" w:cs="Arial" w:hAnsi="Arial"/>
                <w:b/>
                <w:sz w:val="24"/>
                <w:shd w:fill="ff0000"/>
              </w:rPr>
              <w:t xml:space="preserve">Badis</w:t>
            </w:r>
            <w:r>
              <w:rPr>
                <w:lang w:val="fr-FR"/>
                <w:rFonts w:ascii="Arial" w:cs="Arial" w:hAnsi="Arial"/>
                <w:sz w:val="24"/>
                <w:shd w:fill="ff0000"/>
              </w:rPr>
              <w:t xml:space="preserve"> » de Mohamed Abderrahman Tazi</w:t>
            </w:r>
            <w:bookmarkStart w:id="189" w:name="_Hlt387491502"/>
            <w:bookmarkStart w:id="190" w:name="_Hlt387491503"/>
            <w:bookmarkStart w:id="191" w:name="_Hlt387491512"/>
            <w:bookmarkEnd w:id="189"/>
            <w:bookmarkEnd w:id="190"/>
            <w:bookmarkEnd w:id="191"/>
            <w:r>
              <w:rPr>
                <w:lang w:val="fr-FR"/>
                <w:rFonts w:ascii="Arial" w:cs="Arial" w:hAnsi="Arial"/>
                <w:sz w:val="24"/>
                <w:shd w:fill="ff0000"/>
              </w:rPr>
              <w:t xml:space="preserve"> (Maroc)</w:t>
            </w:r>
          </w:p>
          <w:p>
            <w:pPr>
              <w:pStyle w:val="Normal"/>
              <w:jc w:val="center"/>
              <w:spacing w:line="240" w:lineRule="auto"/>
              <w:shd w:fill="ff0000"/>
            </w:pPr>
          </w:p>
        </w:tc>
      </w:tr>
    </w:tbl>
    <w:p>
      <w:pPr>
        <w:pStyle w:val="Normal"/>
        <w:jc w:val="left"/>
        <w:spacing w:line="264" w:lineRule="auto"/>
      </w:pPr>
      <w:r>
        <w:rPr>
          <w:lang w:val="fr-FR"/>
          <w:rFonts w:ascii="Arial" w:cs="Arial" w:hAnsi="Arial"/>
          <w:sz w:val="32"/>
        </w:rPr>
        <w:t xml:space="preserve">Les débats des films  auront lieu chaque matin à partir de </w:t>
      </w:r>
      <w:r>
        <w:rPr>
          <w:lang w:val="fr-FR"/>
          <w:rFonts w:ascii="Arial" w:cs="Arial" w:hAnsi="Arial"/>
          <w:b/>
          <w:sz w:val="52"/>
        </w:rPr>
        <w:t xml:space="preserve">10H</w:t>
      </w:r>
      <w:r>
        <w:rPr>
          <w:lang w:val="fr-FR"/>
          <w:rFonts w:ascii="Arial" w:cs="Arial" w:hAnsi="Arial"/>
          <w:sz w:val="32"/>
        </w:rPr>
        <w:t xml:space="preserve"> à l’Hôtel Golden Tulipe Farah.</w:t>
      </w:r>
    </w:p>
    <w:p>
      <w:pPr>
        <w:pStyle w:val="Normal"/>
        <w:jc w:val="left"/>
        <w:spacing w:line="264" w:lineRule="auto"/>
      </w:pP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32"/>
        </w:rPr>
        <w:t xml:space="preserve">Débats de minuit</w:t>
      </w: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32"/>
        </w:rPr>
        <w:t xml:space="preserve">Hôtel Golden Tulipe Farah </w:t>
      </w:r>
      <w:r>
        <w:rPr>
          <w:lang w:val="fr-FR"/>
          <w:rFonts w:ascii="Arial" w:cs="Arial" w:hAnsi="Arial"/>
          <w:b/>
          <w:sz w:val="32"/>
          <w:color w:val="ffffff"/>
          <w:shd w:fill="000000"/>
        </w:rPr>
        <w:t xml:space="preserve">(00H30)</w:t>
      </w: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32"/>
        </w:rPr>
        <w:t xml:space="preserve">Programme</w:t>
      </w:r>
    </w:p>
    <w:tbl>
      <w:tblGrid>
        <w:gridCol w:w="3369"/>
        <w:gridCol w:w="7543"/>
        <w:gridCol w:w="3369"/>
        <w:gridCol w:w="7543"/>
        <w:gridCol w:w="3369"/>
        <w:gridCol w:w="7543"/>
        <w:gridCol w:w="3369"/>
        <w:gridCol w:w="7543"/>
        <w:gridCol w:w="3369"/>
        <w:gridCol w:w="7543"/>
        <w:gridCol w:w="3369"/>
        <w:gridCol w:w="7543"/>
        <w:gridCol w:w="3369"/>
        <w:gridCol w:w="7543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3369" w:type="dxa"/>
            <w:shd w:fill="c0c0c0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c0c0c0"/>
            </w:pPr>
            <w:r>
              <w:rPr>
                <w:lang w:val="fr-FR"/>
                <w:rFonts w:ascii="Arial" w:cs="Arial" w:hAnsi="Arial"/>
                <w:sz w:val="32"/>
                <w:shd w:fill="c0c0c0"/>
              </w:rPr>
              <w:t xml:space="preserve">Date</w:t>
            </w:r>
          </w:p>
        </w:tc>
        <w:tc>
          <w:tcPr>
            <w:tcW w:w="7543" w:type="dxa"/>
            <w:shd w:fill="c0c0c0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c0c0c0"/>
            </w:pPr>
            <w:r>
              <w:rPr>
                <w:lang w:val="fr-FR"/>
                <w:rFonts w:ascii="Arial" w:cs="Arial" w:hAnsi="Arial"/>
                <w:sz w:val="32"/>
                <w:shd w:fill="c0c0c0"/>
              </w:rPr>
              <w:t xml:space="preserve">Thème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2"/>
                <w:shd w:fill="ffffff"/>
              </w:rPr>
              <w:t xml:space="preserve">Dimanche 15 juin 2014</w:t>
            </w:r>
          </w:p>
        </w:tc>
        <w:tc>
          <w:tcPr>
            <w:tcW w:w="7543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Projection des  courts-métrages de Mohamed Mouftakir : « 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Ombre de la mort 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», « 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Danse de fœtus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 », « 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Chant funèbre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 » et « 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Fin du mois 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». au </w:t>
            </w:r>
            <w:r>
              <w:rPr>
                <w:lang w:val="fr-FR"/>
                <w:rFonts w:ascii="Arial" w:cs="Arial" w:hAnsi="Arial"/>
                <w:b/>
                <w:sz w:val="24"/>
                <w:color w:val="ffffff"/>
                <w:shd w:fill="000000"/>
              </w:rPr>
              <w:t xml:space="preserve">complexe culturel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2"/>
                <w:shd w:fill="ffffff"/>
              </w:rPr>
              <w:t xml:space="preserve">Lundi 16 juin 2014</w:t>
            </w:r>
          </w:p>
        </w:tc>
        <w:tc>
          <w:tcPr>
            <w:tcW w:w="7543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Débats en présence de Mohamed Mouftakir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2"/>
                <w:shd w:fill="ffffff"/>
              </w:rPr>
              <w:t xml:space="preserve">Mardi 17 juin 2014</w:t>
            </w:r>
          </w:p>
        </w:tc>
        <w:tc>
          <w:tcPr>
            <w:tcW w:w="7543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« 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Le corps au cinéma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 » de : Ayoub Bouhouhou, Youssef Ait hammou et Hanane Essaydi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2"/>
                <w:shd w:fill="ffffff"/>
              </w:rPr>
              <w:t xml:space="preserve">Mercredi 18 juin 2014</w:t>
            </w:r>
          </w:p>
        </w:tc>
        <w:tc>
          <w:tcPr>
            <w:tcW w:w="7543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Le cinéma invité : 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Cinéma Ivoirien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2"/>
                <w:shd w:fill="ffffff"/>
              </w:rPr>
              <w:t xml:space="preserve">Jeudi 19 juin 2014</w:t>
            </w:r>
          </w:p>
        </w:tc>
        <w:tc>
          <w:tcPr>
            <w:tcW w:w="7543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Projection  de  « 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Black screen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 » (doc) de Noureddine Lakhmari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2"/>
                <w:shd w:fill="ffffff"/>
              </w:rPr>
              <w:t xml:space="preserve">Vendredi 20 juin 2014</w:t>
            </w:r>
          </w:p>
        </w:tc>
        <w:tc>
          <w:tcPr>
            <w:tcW w:w="7543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Surprise</w:t>
            </w:r>
          </w:p>
        </w:tc>
      </w:tr>
    </w:tbl>
    <w:p>
      <w:pPr>
        <w:pStyle w:val="Normal"/>
        <w:jc w:val="center"/>
        <w:spacing w:line="264" w:lineRule="auto"/>
      </w:pPr>
    </w:p>
    <w:p>
      <w:pPr>
        <w:pStyle w:val="Normal"/>
        <w:jc w:val="center"/>
        <w:spacing w:line="264" w:lineRule="auto"/>
      </w:pP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40"/>
          <w:color w:val="ffffff"/>
          <w:shd w:fill="000000"/>
        </w:rPr>
        <w:t xml:space="preserve">PROGRAMME</w:t>
      </w: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40"/>
        </w:rPr>
        <w:t xml:space="preserve">Projection en plein air (Grand écran)</w:t>
      </w: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40"/>
        </w:rPr>
        <w:t xml:space="preserve">Place Marjane</w:t>
      </w: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40"/>
          <w:color w:val="ffffff"/>
          <w:shd w:fill="000000"/>
        </w:rPr>
        <w:t xml:space="preserve">21 H</w:t>
      </w:r>
    </w:p>
    <w:tbl>
      <w:tblGrid>
        <w:gridCol w:w="3369"/>
        <w:gridCol w:w="5892"/>
        <w:gridCol w:w="3369"/>
        <w:gridCol w:w="5892"/>
        <w:gridCol w:w="3369"/>
        <w:gridCol w:w="5892"/>
        <w:gridCol w:w="3369"/>
        <w:gridCol w:w="5892"/>
        <w:gridCol w:w="3369"/>
        <w:gridCol w:w="5892"/>
        <w:gridCol w:w="3369"/>
        <w:gridCol w:w="5892"/>
        <w:gridCol w:w="3369"/>
        <w:gridCol w:w="5892"/>
        <w:gridCol w:w="3369"/>
        <w:gridCol w:w="5892"/>
        <w:gridCol w:w="3369"/>
        <w:gridCol w:w="5892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40"/>
                <w:shd w:fill="ffffff"/>
              </w:rPr>
              <w:t xml:space="preserve">Date</w:t>
            </w:r>
          </w:p>
        </w:tc>
        <w:tc>
          <w:tcPr>
            <w:tcW w:w="58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40"/>
                <w:shd w:fill="ffffff"/>
              </w:rPr>
              <w:t xml:space="preserve">Films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Samedi14/06/2014</w:t>
            </w:r>
          </w:p>
        </w:tc>
        <w:tc>
          <w:tcPr>
            <w:tcW w:w="58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Tartina City » 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de Issa Serge COELO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 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Dimanche15/06/2014</w:t>
            </w:r>
          </w:p>
        </w:tc>
        <w:tc>
          <w:tcPr>
            <w:tcW w:w="58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Sara »</w:t>
            </w: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 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de Said Naciri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Lundi 16/06/2014</w:t>
            </w:r>
          </w:p>
        </w:tc>
        <w:tc>
          <w:tcPr>
            <w:tcW w:w="58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La lune rouge » 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de Hassan Benjelloun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Mardi 17/06/2014</w:t>
            </w:r>
          </w:p>
        </w:tc>
        <w:tc>
          <w:tcPr>
            <w:tcW w:w="58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Tawenza » 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de Malika El Manoug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Mercredi 18/06/2014</w:t>
            </w:r>
          </w:p>
        </w:tc>
        <w:tc>
          <w:tcPr>
            <w:tcW w:w="58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 « </w:t>
            </w: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Moi Zaphira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 » de Apolline Traori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Jeudi 19/06/2014</w:t>
            </w:r>
          </w:p>
        </w:tc>
        <w:tc>
          <w:tcPr>
            <w:tcW w:w="58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Dust &amp; Fortunes »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Vendredi 20/06/2014</w:t>
            </w:r>
          </w:p>
        </w:tc>
        <w:tc>
          <w:tcPr>
            <w:tcW w:w="58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Horizon Beautiful»</w:t>
            </w:r>
          </w:p>
        </w:tc>
      </w:tr>
      <w:tr>
        <w:trPr/>
        <w:tc>
          <w:tcPr>
            <w:tcW w:w="3369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Samedi 21/06/2014</w:t>
            </w:r>
          </w:p>
        </w:tc>
        <w:tc>
          <w:tcPr>
            <w:tcW w:w="58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left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La route vers Kaboul »</w:t>
            </w: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 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de Brahim Chkiri</w:t>
            </w:r>
          </w:p>
        </w:tc>
      </w:tr>
    </w:tbl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40"/>
        </w:rPr>
        <w:t xml:space="preserve">Projections : Prison civile de Khouribga</w:t>
      </w: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40"/>
          <w:color w:val="ffffff"/>
          <w:shd w:fill="000000"/>
        </w:rPr>
        <w:t xml:space="preserve">15 H</w:t>
      </w:r>
    </w:p>
    <w:tbl>
      <w:tblGrid>
        <w:gridCol w:w="2864"/>
        <w:gridCol w:w="5670"/>
        <w:gridCol w:w="1666"/>
        <w:gridCol w:w="2864"/>
        <w:gridCol w:w="5670"/>
        <w:gridCol w:w="1666"/>
        <w:gridCol w:w="2864"/>
        <w:gridCol w:w="5670"/>
        <w:gridCol w:w="1666"/>
        <w:gridCol w:w="2864"/>
        <w:gridCol w:w="5670"/>
        <w:gridCol w:w="1666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2864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36"/>
                <w:shd w:fill="ffffff"/>
              </w:rPr>
              <w:t xml:space="preserve">Date</w:t>
            </w:r>
          </w:p>
        </w:tc>
        <w:tc>
          <w:tcPr>
            <w:tcW w:w="5670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36"/>
                <w:shd w:fill="ffffff"/>
              </w:rPr>
              <w:t xml:space="preserve">Films</w:t>
            </w:r>
          </w:p>
        </w:tc>
        <w:tc>
          <w:tcPr>
            <w:tcW w:w="166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36"/>
                <w:shd w:fill="ffffff"/>
              </w:rPr>
              <w:t xml:space="preserve">Pavillon</w:t>
            </w:r>
          </w:p>
        </w:tc>
      </w:tr>
      <w:tr>
        <w:trPr/>
        <w:tc>
          <w:tcPr>
            <w:tcW w:w="2864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Mardi 17/06/2014</w:t>
            </w:r>
          </w:p>
        </w:tc>
        <w:tc>
          <w:tcPr>
            <w:tcW w:w="5670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Sara »</w:t>
            </w: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 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de Said Naciri</w:t>
            </w:r>
          </w:p>
        </w:tc>
        <w:tc>
          <w:tcPr>
            <w:tcW w:w="166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Mineurs</w:t>
            </w:r>
          </w:p>
        </w:tc>
      </w:tr>
      <w:tr>
        <w:trPr/>
        <w:tc>
          <w:tcPr>
            <w:tcW w:w="2864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Mercredi 18/06/2014</w:t>
            </w:r>
          </w:p>
        </w:tc>
        <w:tc>
          <w:tcPr>
            <w:tcW w:w="5670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Zaynab, la rose d’Aghmat » 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de Farida Bourquia</w:t>
            </w:r>
          </w:p>
        </w:tc>
        <w:tc>
          <w:tcPr>
            <w:tcW w:w="166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Femmes</w:t>
            </w:r>
          </w:p>
        </w:tc>
      </w:tr>
      <w:tr>
        <w:trPr/>
        <w:tc>
          <w:tcPr>
            <w:tcW w:w="2864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Jeudi 19/06/2014</w:t>
            </w:r>
          </w:p>
        </w:tc>
        <w:tc>
          <w:tcPr>
            <w:tcW w:w="5670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La lune rouge » 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de Hassan Benjelloun</w:t>
            </w:r>
          </w:p>
        </w:tc>
        <w:tc>
          <w:tcPr>
            <w:tcW w:w="1666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Hommes</w:t>
            </w:r>
          </w:p>
        </w:tc>
      </w:tr>
    </w:tbl>
    <w:p>
      <w:pPr>
        <w:pStyle w:val="Normal"/>
        <w:jc w:val="center"/>
        <w:spacing w:line="264" w:lineRule="auto"/>
      </w:pP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40"/>
        </w:rPr>
        <w:t xml:space="preserve">Projections : Centre Al Mostaqbal</w:t>
      </w: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40"/>
          <w:color w:val="ffffff"/>
          <w:shd w:fill="000000"/>
        </w:rPr>
        <w:t xml:space="preserve">10 H</w:t>
      </w:r>
    </w:p>
    <w:tbl>
      <w:tblGrid>
        <w:gridCol w:w="4644"/>
        <w:gridCol w:w="4644"/>
        <w:gridCol w:w="4644"/>
        <w:gridCol w:w="4644"/>
        <w:gridCol w:w="4644"/>
        <w:gridCol w:w="4644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4644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40"/>
                <w:shd w:fill="ffffff"/>
              </w:rPr>
              <w:t xml:space="preserve">Date</w:t>
            </w:r>
          </w:p>
        </w:tc>
        <w:tc>
          <w:tcPr>
            <w:tcW w:w="4644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40"/>
                <w:shd w:fill="ffffff"/>
              </w:rPr>
              <w:t xml:space="preserve">Films</w:t>
            </w:r>
          </w:p>
        </w:tc>
      </w:tr>
      <w:tr>
        <w:trPr/>
        <w:tc>
          <w:tcPr>
            <w:tcW w:w="4644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Mercredi 18/06/2014</w:t>
            </w:r>
          </w:p>
        </w:tc>
        <w:tc>
          <w:tcPr>
            <w:tcW w:w="4644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Grigris ou Majid</w:t>
            </w:r>
          </w:p>
        </w:tc>
      </w:tr>
      <w:tr>
        <w:trPr/>
        <w:tc>
          <w:tcPr>
            <w:tcW w:w="4644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Jeudi 19/06/2014</w:t>
            </w:r>
          </w:p>
        </w:tc>
        <w:tc>
          <w:tcPr>
            <w:tcW w:w="4644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40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Dust and Fortunes </w:t>
            </w:r>
          </w:p>
        </w:tc>
      </w:tr>
    </w:tbl>
    <w:p>
      <w:pPr>
        <w:pStyle w:val="Normal"/>
        <w:jc w:val="left"/>
        <w:spacing w:line="264" w:lineRule="auto"/>
      </w:pP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40"/>
        </w:rPr>
        <w:t xml:space="preserve">Projections : Villages miniers</w:t>
      </w:r>
    </w:p>
    <w:p>
      <w:pPr>
        <w:pStyle w:val="Normal"/>
        <w:jc w:val="center"/>
        <w:spacing w:line="264" w:lineRule="auto"/>
      </w:pPr>
      <w:r>
        <w:rPr>
          <w:lang w:val="fr-FR"/>
          <w:rFonts w:ascii="Arial" w:cs="Arial" w:hAnsi="Arial"/>
          <w:b/>
          <w:sz w:val="40"/>
          <w:color w:val="ffffff"/>
          <w:shd w:fill="000000"/>
        </w:rPr>
        <w:t xml:space="preserve">21 H</w:t>
      </w:r>
    </w:p>
    <w:tbl>
      <w:tblGrid>
        <w:gridCol w:w="2878"/>
        <w:gridCol w:w="2192"/>
        <w:gridCol w:w="5918"/>
        <w:gridCol w:w="2878"/>
        <w:gridCol w:w="2192"/>
        <w:gridCol w:w="5918"/>
        <w:gridCol w:w="2878"/>
        <w:gridCol w:w="2192"/>
        <w:gridCol w:w="5918"/>
        <w:gridCol w:w="2878"/>
        <w:gridCol w:w="2192"/>
        <w:gridCol w:w="5918"/>
      </w:tblGrid>
      <w:tblPr>
        <w:tblBorders>
          <w:left w:val="single"/>
          <w:right w:val="single"/>
          <w:top w:val="single"/>
          <w:bottom w:val="single"/>
        </w:tblBorders>
      </w:tblPr>
      <w:tr>
        <w:trPr/>
        <w:tc>
          <w:tcPr>
            <w:tcW w:w="2878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40"/>
                <w:shd w:fill="ffffff"/>
              </w:rPr>
              <w:t xml:space="preserve">Date</w:t>
            </w:r>
          </w:p>
        </w:tc>
        <w:tc>
          <w:tcPr>
            <w:tcW w:w="21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40"/>
                <w:shd w:fill="ffffff"/>
              </w:rPr>
              <w:t xml:space="preserve">Village</w:t>
            </w:r>
          </w:p>
        </w:tc>
        <w:tc>
          <w:tcPr>
            <w:tcW w:w="5918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40"/>
                <w:shd w:fill="ffffff"/>
              </w:rPr>
              <w:t xml:space="preserve">Film</w:t>
            </w:r>
          </w:p>
        </w:tc>
      </w:tr>
      <w:tr>
        <w:trPr/>
        <w:tc>
          <w:tcPr>
            <w:tcW w:w="2878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Dimanche15/06/2014</w:t>
            </w:r>
          </w:p>
        </w:tc>
        <w:tc>
          <w:tcPr>
            <w:tcW w:w="21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Boulanoire</w:t>
            </w:r>
          </w:p>
        </w:tc>
        <w:tc>
          <w:tcPr>
            <w:tcW w:w="5918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Zaynab, la rose d’Aghmat » 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de Farida Bourquia</w:t>
            </w:r>
          </w:p>
        </w:tc>
      </w:tr>
      <w:tr>
        <w:trPr/>
        <w:tc>
          <w:tcPr>
            <w:tcW w:w="2878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Jeudi 19/06/2014</w:t>
            </w:r>
          </w:p>
        </w:tc>
        <w:tc>
          <w:tcPr>
            <w:tcW w:w="21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Boujniba</w:t>
            </w:r>
          </w:p>
        </w:tc>
        <w:tc>
          <w:tcPr>
            <w:tcW w:w="5918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Sara »</w:t>
            </w: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 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de Said Naciri</w:t>
            </w:r>
          </w:p>
        </w:tc>
      </w:tr>
      <w:tr>
        <w:trPr/>
        <w:tc>
          <w:tcPr>
            <w:tcW w:w="2878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Vendredi 20/06/2014</w:t>
            </w:r>
          </w:p>
        </w:tc>
        <w:tc>
          <w:tcPr>
            <w:tcW w:w="2192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Hattane</w:t>
            </w:r>
          </w:p>
        </w:tc>
        <w:tc>
          <w:tcPr>
            <w:tcW w:w="5918" w:type="dxa"/>
            <w:shd w:fill="ffffff"/>
            <w:tcBorders>
              <w:left w:val="single" w:color="000000" w:sz="0"/>
              <w:right w:val="single" w:color="000000" w:sz="0"/>
              <w:top w:val="single" w:color="000000" w:sz="0"/>
              <w:bottom w:val="single" w:color="000000" w:sz="0"/>
            </w:tcBorders>
          </w:tcPr>
          <w:p>
            <w:pPr>
              <w:pStyle w:val="Normal"/>
              <w:jc w:val="center"/>
              <w:spacing w:line="264" w:lineRule="auto"/>
              <w:shd w:fill="ffffff"/>
            </w:pPr>
            <w:r>
              <w:rPr>
                <w:lang w:val="fr-FR"/>
                <w:rFonts w:ascii="Arial" w:cs="Arial" w:hAnsi="Arial"/>
                <w:b/>
                <w:sz w:val="24"/>
                <w:shd w:fill="ffffff"/>
              </w:rPr>
              <w:t xml:space="preserve">« La route vers Kaboul »</w:t>
            </w:r>
            <w:r>
              <w:rPr>
                <w:lang w:val="fr-FR"/>
                <w:rFonts w:ascii="Arial" w:cs="Arial" w:hAnsi="Arial"/>
                <w:sz w:val="28"/>
                <w:shd w:fill="ffffff"/>
              </w:rPr>
              <w:t xml:space="preserve"> </w:t>
            </w:r>
            <w:r>
              <w:rPr>
                <w:lang w:val="fr-FR"/>
                <w:rFonts w:ascii="Arial" w:cs="Arial" w:hAnsi="Arial"/>
                <w:sz w:val="24"/>
                <w:shd w:fill="ffffff"/>
              </w:rPr>
              <w:t xml:space="preserve">de Brahim Chkiri</w:t>
            </w:r>
          </w:p>
        </w:tc>
      </w:tr>
    </w:tbl>
    <w:p>
      <w:pPr>
        <w:pStyle w:val="Normal"/>
        <w:jc w:val="center"/>
        <w:spacing w:line="264" w:lineRule="auto"/>
      </w:pPr>
    </w:p>
    <w:p>
      <w:pPr/>
    </w:p>
    <w:sectPr>
      <w:type w:val="continuous"/>
      <w:pgSz w:w="11906" w:h="16838" w:orient="portrait"/>
      <w:pgMar w:top="567" w:left="567" w:right="567" w:bottom="567"/>
    </w:sectPr>
  </w:body>
</w:document>
</file>

<file path=word/endnotes.xml><?xml version="1.0" encoding="utf-8"?>
<w:endnotes xmlns:w="http://schemas.openxmlformats.org/wordprocessingml/2006/main"/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style w:type="paragraph" w:styleId="Arrowhead List">
    <w:name w:val="Arrowhead List"/>
    <w:pPr>
      <w:ind w:hanging="432"/>
      <w:ind w:left="720"/>
    </w:pPr>
    <w:rPr/>
  </w:style>
  <w:style w:type="paragraph" w:styleId="Block Text">
    <w:name w:val="Block Text"/>
    <w:basedOn w:val="Normal"/>
    <w:pPr>
      <w:ind w:left="1440"/>
      <w:ind w:right="1440"/>
      <w:spacing w:after="120"/>
    </w:pPr>
    <w:rPr/>
  </w:style>
  <w:style w:type="paragraph" w:styleId="Box List">
    <w:name w:val="Box List"/>
    <w:pPr>
      <w:ind w:hanging="432"/>
      <w:ind w:left="720"/>
    </w:pPr>
    <w:rPr/>
  </w:style>
  <w:style w:type="paragraph" w:styleId="Bullet List">
    <w:name w:val="Bullet List"/>
    <w:pPr>
      <w:ind w:hanging="432"/>
      <w:ind w:left="720"/>
    </w:pPr>
    <w:rPr/>
  </w:style>
  <w:style w:type="paragraph" w:styleId="Chapter Heading">
    <w:name w:val="Chapter Heading"/>
    <w:basedOn w:val="Numbered Heading 1"/>
    <w:next w:val="Normal"/>
    <w:pPr>
      <w:ind w:firstLine="0"/>
    </w:pPr>
    <w:rPr/>
  </w:style>
  <w:style w:type="paragraph" w:styleId="Contents 1">
    <w:name w:val="Contents 1"/>
    <w:basedOn w:val="Normal"/>
    <w:next w:val="Normal"/>
    <w:pPr>
      <w:ind w:hanging="432"/>
      <w:ind w:left="720"/>
    </w:pPr>
    <w:rPr/>
  </w:style>
  <w:style w:type="paragraph" w:styleId="Contents 2">
    <w:name w:val="Contents 2"/>
    <w:basedOn w:val="Normal"/>
    <w:next w:val="Normal"/>
    <w:pPr>
      <w:ind w:hanging="432"/>
      <w:ind w:left="1440"/>
    </w:pPr>
    <w:rPr/>
  </w:style>
  <w:style w:type="paragraph" w:styleId="Contents 3">
    <w:name w:val="Contents 3"/>
    <w:basedOn w:val="Normal"/>
    <w:next w:val="Normal"/>
    <w:pPr>
      <w:ind w:hanging="432"/>
      <w:ind w:left="2160"/>
    </w:pPr>
    <w:rPr/>
  </w:style>
  <w:style w:type="paragraph" w:styleId="Contents 4">
    <w:name w:val="Contents 4"/>
    <w:basedOn w:val="Normal"/>
    <w:next w:val="Normal"/>
    <w:pPr>
      <w:ind w:hanging="432"/>
      <w:ind w:left="2880"/>
    </w:pPr>
    <w:rPr/>
  </w:style>
  <w:style w:type="paragraph" w:styleId="Contents Header">
    <w:name w:val="Contents Header"/>
    <w:basedOn w:val="Normal"/>
    <w:next w:val="Normal"/>
    <w:pPr>
      <w:jc w:val="center"/>
      <w:spacing w:after="120"/>
      <w:spacing w:before="240"/>
    </w:pPr>
    <w:rPr>
      <w:b/>
      <w:sz w:val="32"/>
      <w:rFonts w:ascii="Arial" w:cs="Arial" w:hAnsi="Arial"/>
    </w:rPr>
  </w:style>
  <w:style w:type="paragraph" w:styleId="Dashed List">
    <w:name w:val="Dashed List"/>
    <w:pPr>
      <w:ind w:hanging="432"/>
      <w:ind w:left="720"/>
    </w:pPr>
    <w:rPr/>
  </w:style>
  <w:style w:type="paragraph" w:styleId="Diamond List">
    <w:name w:val="Diamond List"/>
    <w:pPr>
      <w:ind w:hanging="432"/>
      <w:ind w:left="720"/>
    </w:pPr>
    <w:rPr/>
  </w:style>
  <w:style w:type="paragraph" w:styleId="Endnote">
    <w:name w:val="Endnote"/>
    <w:basedOn w:val="Normal"/>
    <w:pPr>
      <w:ind w:hanging="288"/>
      <w:ind w:left="288"/>
    </w:pPr>
    <w:rPr/>
  </w:style>
  <w:style w:type="character" w:styleId="Endnote Reference">
    <w:name w:val="Endnote Reference"/>
    <w:pPr/>
    <w:rPr>
      <w:sz w:val="20"/>
      <w:vertAlign w:val="superscript"/>
    </w:rPr>
  </w:style>
  <w:style w:type="paragraph" w:styleId="Endnote Text">
    <w:name w:val="Endnote Text"/>
    <w:basedOn w:val="Normal"/>
    <w:pPr/>
    <w:rPr/>
  </w:style>
  <w:style w:type="paragraph" w:styleId="Footnote">
    <w:name w:val="Footnote"/>
    <w:basedOn w:val="Normal"/>
    <w:pPr>
      <w:ind w:hanging="288"/>
      <w:ind w:left="288"/>
    </w:pPr>
    <w:rPr>
      <w:sz w:val="20"/>
    </w:rPr>
  </w:style>
  <w:style w:type="character" w:styleId="Footnote Reference">
    <w:name w:val="Footnote Reference"/>
    <w:pPr/>
    <w:rPr>
      <w:sz w:val="20"/>
      <w:vertAlign w:val="superscript"/>
    </w:rPr>
  </w:style>
  <w:style w:type="paragraph" w:styleId="Footnote Text">
    <w:name w:val="Footnote Text"/>
    <w:basedOn w:val="Normal"/>
    <w:pPr/>
    <w:rPr>
      <w:sz w:val="20"/>
    </w:rPr>
  </w:style>
  <w:style w:type="paragraph" w:styleId="Grille du tableau">
    <w:name w:val="Grille du tableau"/>
    <w:basedOn w:val="Tableau Normal"/>
    <w:next w:val="Grille du tableau"/>
    <w:pPr>
      <w:jc w:val="left"/>
    </w:pPr>
    <w:rPr>
      <w:sz w:val="22"/>
      <w:rFonts w:ascii="Calibri" w:cs="Calibri" w:hAnsi="Calibri"/>
    </w:rPr>
  </w:style>
  <w:style w:type="paragraph" w:styleId="Hand List">
    <w:name w:val="Hand List"/>
    <w:pPr>
      <w:ind w:hanging="432"/>
      <w:ind w:left="720"/>
    </w:pPr>
    <w:rPr/>
  </w:style>
  <w:style w:type="paragraph" w:styleId="Heading 1">
    <w:name w:val="Heading 1"/>
    <w:basedOn w:val="Normal"/>
    <w:next w:val="Normal"/>
    <w:pPr>
      <w:spacing w:after="60"/>
      <w:spacing w:before="440"/>
    </w:pPr>
    <w:rPr>
      <w:b/>
      <w:sz w:val="34"/>
      <w:rFonts w:ascii="Arial" w:cs="Arial" w:hAnsi="Arial"/>
    </w:rPr>
  </w:style>
  <w:style w:type="paragraph" w:styleId="Heading 2">
    <w:name w:val="Heading 2"/>
    <w:basedOn w:val="Normal"/>
    <w:next w:val="Normal"/>
    <w:pPr>
      <w:spacing w:after="60"/>
      <w:spacing w:before="440"/>
    </w:pPr>
    <w:rPr>
      <w:b/>
      <w:sz w:val="28"/>
      <w:rFonts w:ascii="Arial" w:cs="Arial" w:hAnsi="Arial"/>
    </w:rPr>
  </w:style>
  <w:style w:type="paragraph" w:styleId="Heading 3">
    <w:name w:val="Heading 3"/>
    <w:basedOn w:val="Normal"/>
    <w:next w:val="Normal"/>
    <w:pPr>
      <w:spacing w:after="60"/>
      <w:spacing w:before="440"/>
    </w:pPr>
    <w:rPr>
      <w:b/>
      <w:sz w:val="24"/>
      <w:rFonts w:ascii="Arial" w:cs="Arial" w:hAnsi="Arial"/>
    </w:rPr>
  </w:style>
  <w:style w:type="paragraph" w:styleId="Heading 4">
    <w:name w:val="Heading 4"/>
    <w:basedOn w:val="Normal"/>
    <w:next w:val="Normal"/>
    <w:pPr>
      <w:spacing w:after="60"/>
      <w:spacing w:before="440"/>
    </w:pPr>
    <w:rPr>
      <w:b/>
      <w:sz w:val="24"/>
      <w:rFonts w:ascii="Arial" w:cs="Arial" w:hAnsi="Arial"/>
    </w:rPr>
  </w:style>
  <w:style w:type="paragraph" w:styleId="Heart List">
    <w:name w:val="Heart List"/>
    <w:pPr>
      <w:ind w:hanging="432"/>
      <w:ind w:left="720"/>
    </w:pPr>
    <w:rPr/>
  </w:style>
  <w:style w:type="paragraph" w:styleId="Implies List">
    <w:name w:val="Implies List"/>
    <w:pPr>
      <w:ind w:hanging="432"/>
      <w:ind w:left="720"/>
    </w:pPr>
    <w:rPr/>
  </w:style>
  <w:style w:type="paragraph" w:styleId="Lower Case List">
    <w:name w:val="Lower Case List"/>
    <w:basedOn w:val="Numbered List"/>
    <w:pPr>
      <w:ind w:hanging="432"/>
      <w:ind w:left="720"/>
    </w:pPr>
    <w:rPr/>
  </w:style>
  <w:style w:type="paragraph" w:styleId="Lower Roman List">
    <w:name w:val="Lower Roman List"/>
    <w:basedOn w:val="Normal"/>
    <w:pPr>
      <w:ind w:hanging="432"/>
      <w:ind w:left="720"/>
    </w:pPr>
    <w:rPr/>
  </w:style>
  <w:docDefaults>
    <w:pPrDefault>
      <w:pPr>
        <w:widowControl w:val="on"/>
        <w:jc w:val="left"/>
        <w:ind w:firstLine="0"/>
        <w:spacing w:after="200"/>
        <w:spacing w:before="0"/>
        <w:spacing w:line="264" w:lineRule="auto"/>
      </w:pPr>
    </w:pPrDefault>
    <w:rPrDefault>
      <w:rPr>
        <w:sz w:val="22"/>
        <w:rFonts w:ascii="Calibri" w:cs="Calibri" w:hAnsi="Calibri"/>
        <w:color w:val="000000"/>
        <w:shd w:fill="ffffff"/>
      </w:rPr>
    </w:rPrDefault>
  </w:docDefaults>
  <w:style w:type="paragraph" w:styleId="Numbered Heading 1">
    <w:name w:val="Numbered Heading 1"/>
    <w:basedOn w:val="Heading 1"/>
    <w:next w:val="Normal"/>
    <w:pPr>
      <w:ind w:firstLine="0"/>
    </w:pPr>
    <w:rPr/>
  </w:style>
  <w:style w:type="paragraph" w:styleId="Numbered Heading 2">
    <w:name w:val="Numbered Heading 2"/>
    <w:basedOn w:val="Heading 2"/>
    <w:next w:val="Normal"/>
    <w:pPr>
      <w:ind w:firstLine="0"/>
    </w:pPr>
    <w:rPr/>
  </w:style>
  <w:style w:type="paragraph" w:styleId="Numbered Heading 3">
    <w:name w:val="Numbered Heading 3"/>
    <w:basedOn w:val="Heading 3"/>
    <w:next w:val="Normal"/>
    <w:pPr>
      <w:ind w:firstLine="0"/>
    </w:pPr>
    <w:rPr/>
  </w:style>
  <w:style w:type="paragraph" w:styleId="Numbered List">
    <w:name w:val="Numbered List"/>
    <w:pPr>
      <w:ind w:hanging="432"/>
      <w:ind w:left="720"/>
    </w:pPr>
    <w:rPr/>
  </w:style>
  <w:style w:type="paragraph" w:styleId="Plain Text">
    <w:name w:val="Plain Text"/>
    <w:basedOn w:val="Normal"/>
    <w:pPr/>
    <w:rPr>
      <w:rFonts w:ascii="Courier New" w:cs="Courier New" w:hAnsi="Courier New"/>
    </w:rPr>
  </w:style>
  <w:style w:type="paragraph" w:styleId="Section Heading">
    <w:name w:val="Section Heading"/>
    <w:basedOn w:val="Numbered Heading 1"/>
    <w:next w:val="Normal"/>
    <w:pPr>
      <w:ind w:firstLine="0"/>
    </w:pPr>
    <w:rPr/>
  </w:style>
  <w:style w:type="paragraph" w:styleId="Square List">
    <w:name w:val="Square List"/>
    <w:pPr>
      <w:ind w:hanging="432"/>
      <w:ind w:left="720"/>
    </w:pPr>
    <w:rPr/>
  </w:style>
  <w:style w:type="paragraph" w:styleId="Star List">
    <w:name w:val="Star List"/>
    <w:pPr>
      <w:ind w:hanging="432"/>
      <w:ind w:left="720"/>
    </w:pPr>
    <w:rPr/>
  </w:style>
  <w:style w:type="paragraph" w:styleId="Tableau Normal">
    <w:name w:val="Tableau Normal"/>
    <w:next w:val="Tableau Normal"/>
    <w:pPr>
      <w:jc w:val="left"/>
    </w:pPr>
    <w:rPr>
      <w:sz w:val="22"/>
      <w:rFonts w:ascii="Calibri" w:cs="Calibri" w:hAnsi="Calibri"/>
    </w:rPr>
  </w:style>
  <w:style w:type="paragraph" w:styleId="Tick List">
    <w:name w:val="Tick List"/>
    <w:pPr>
      <w:ind w:hanging="432"/>
      <w:ind w:left="720"/>
    </w:pPr>
    <w:rPr/>
  </w:style>
  <w:style w:type="paragraph" w:styleId="Triangle List">
    <w:name w:val="Triangle List"/>
    <w:pPr>
      <w:ind w:hanging="432"/>
      <w:ind w:left="720"/>
    </w:pPr>
    <w:rPr/>
  </w:style>
  <w:style w:type="paragraph" w:styleId="Upper Case List">
    <w:name w:val="Upper Case List"/>
    <w:basedOn w:val="Numbered List"/>
    <w:pPr>
      <w:ind w:hanging="432"/>
      <w:ind w:left="720"/>
    </w:pPr>
    <w:rPr/>
  </w:style>
  <w:style w:type="paragraph" w:styleId="Upper Roman List">
    <w:name w:val="Upper Roman List"/>
    <w:basedOn w:val="Numbered List"/>
    <w:pPr>
      <w:ind w:hanging="432"/>
      <w:ind w:left="720"/>
    </w:pPr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/Relationships>
</file>